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143D" w14:textId="77777777" w:rsidR="00F743A7" w:rsidRDefault="00F743A7" w:rsidP="00F743A7">
      <w:pPr>
        <w:pStyle w:val="BodyText"/>
        <w:ind w:right="54"/>
        <w:rPr>
          <w:color w:val="54575A"/>
          <w:sz w:val="20"/>
          <w:szCs w:val="20"/>
        </w:rPr>
      </w:pPr>
    </w:p>
    <w:p w14:paraId="55E99407" w14:textId="30F985AD" w:rsidR="00982206" w:rsidRPr="00F743A7" w:rsidRDefault="00986671" w:rsidP="00F743A7">
      <w:pPr>
        <w:pStyle w:val="BodyText"/>
        <w:spacing w:before="298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 xml:space="preserve">The Department for Education has published a list of “key workers” whose children will be </w:t>
      </w:r>
      <w:proofErr w:type="spellStart"/>
      <w:r w:rsidRPr="00F743A7">
        <w:rPr>
          <w:color w:val="54575A"/>
          <w:sz w:val="20"/>
          <w:szCs w:val="20"/>
        </w:rPr>
        <w:t>prioritised</w:t>
      </w:r>
      <w:proofErr w:type="spellEnd"/>
      <w:r w:rsidRPr="00F743A7">
        <w:rPr>
          <w:color w:val="54575A"/>
          <w:sz w:val="20"/>
          <w:szCs w:val="20"/>
        </w:rPr>
        <w:t xml:space="preserve"> for schooling during general closures because of coronavirus. Schools are </w:t>
      </w:r>
      <w:r w:rsidRPr="00F743A7">
        <w:rPr>
          <w:color w:val="54575A"/>
          <w:spacing w:val="-3"/>
          <w:sz w:val="20"/>
          <w:szCs w:val="20"/>
        </w:rPr>
        <w:t xml:space="preserve">being </w:t>
      </w:r>
      <w:r w:rsidRPr="00F743A7">
        <w:rPr>
          <w:color w:val="54575A"/>
          <w:sz w:val="20"/>
          <w:szCs w:val="20"/>
        </w:rPr>
        <w:t xml:space="preserve">asked to continue to provide care for </w:t>
      </w:r>
      <w:proofErr w:type="gramStart"/>
      <w:r w:rsidRPr="00F743A7">
        <w:rPr>
          <w:color w:val="54575A"/>
          <w:sz w:val="20"/>
          <w:szCs w:val="20"/>
        </w:rPr>
        <w:t>a number of</w:t>
      </w:r>
      <w:proofErr w:type="gramEnd"/>
      <w:r w:rsidRPr="00F743A7">
        <w:rPr>
          <w:color w:val="54575A"/>
          <w:sz w:val="20"/>
          <w:szCs w:val="20"/>
        </w:rPr>
        <w:t xml:space="preserve"> children but will be clo</w:t>
      </w:r>
      <w:r w:rsidRPr="00F743A7">
        <w:rPr>
          <w:color w:val="54575A"/>
          <w:sz w:val="20"/>
          <w:szCs w:val="20"/>
        </w:rPr>
        <w:t>sed to the majority from Monday 23</w:t>
      </w:r>
      <w:r w:rsidRPr="00F743A7">
        <w:rPr>
          <w:color w:val="54575A"/>
          <w:spacing w:val="-1"/>
          <w:sz w:val="20"/>
          <w:szCs w:val="20"/>
        </w:rPr>
        <w:t xml:space="preserve"> </w:t>
      </w:r>
      <w:r w:rsidRPr="00F743A7">
        <w:rPr>
          <w:color w:val="54575A"/>
          <w:sz w:val="20"/>
          <w:szCs w:val="20"/>
        </w:rPr>
        <w:t>March.</w:t>
      </w:r>
    </w:p>
    <w:p w14:paraId="7CE0BB50" w14:textId="77777777" w:rsidR="00982206" w:rsidRPr="00F743A7" w:rsidRDefault="00982206" w:rsidP="00F743A7">
      <w:pPr>
        <w:pStyle w:val="BodyText"/>
        <w:spacing w:before="4"/>
        <w:ind w:right="54"/>
        <w:rPr>
          <w:color w:val="54575A"/>
          <w:sz w:val="20"/>
          <w:szCs w:val="20"/>
        </w:rPr>
      </w:pPr>
    </w:p>
    <w:p w14:paraId="547EE60B" w14:textId="6EDAB60D" w:rsidR="00982206" w:rsidRPr="00F743A7" w:rsidRDefault="00F743A7" w:rsidP="00F743A7">
      <w:pPr>
        <w:pStyle w:val="Heading1"/>
        <w:ind w:left="0" w:right="54"/>
        <w:rPr>
          <w:color w:val="005AA7"/>
        </w:rPr>
      </w:pPr>
      <w:r w:rsidRPr="00F743A7">
        <w:rPr>
          <w:color w:val="005AA7"/>
        </w:rPr>
        <w:t>HEALTH &amp; SOCIAL CARE</w:t>
      </w:r>
    </w:p>
    <w:p w14:paraId="234C291C" w14:textId="77777777" w:rsidR="00982206" w:rsidRPr="00F743A7" w:rsidRDefault="00982206" w:rsidP="00F743A7">
      <w:pPr>
        <w:pStyle w:val="BodyText"/>
        <w:spacing w:before="1"/>
        <w:ind w:right="54"/>
        <w:rPr>
          <w:b/>
          <w:color w:val="54575A"/>
          <w:sz w:val="20"/>
          <w:szCs w:val="20"/>
        </w:rPr>
      </w:pPr>
    </w:p>
    <w:p w14:paraId="3BD1ED57" w14:textId="77777777" w:rsidR="00982206" w:rsidRPr="00F743A7" w:rsidRDefault="00986671" w:rsidP="00F743A7">
      <w:pPr>
        <w:pStyle w:val="BodyText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 xml:space="preserve">Frontline health and social care staff such as doctors, nurses, midwives, paramedics, as well as support and specialist staff in the health and social care sector. In addition, it includes </w:t>
      </w:r>
      <w:r w:rsidRPr="00F743A7">
        <w:rPr>
          <w:color w:val="54575A"/>
          <w:sz w:val="20"/>
          <w:szCs w:val="20"/>
        </w:rPr>
        <w:t>those working in supply chains including producers and distributors of medicines and personal protective equipment.</w:t>
      </w:r>
    </w:p>
    <w:p w14:paraId="7F8AF818" w14:textId="77777777" w:rsidR="00982206" w:rsidRPr="00F743A7" w:rsidRDefault="00982206" w:rsidP="00F743A7">
      <w:pPr>
        <w:pStyle w:val="BodyText"/>
        <w:spacing w:before="3"/>
        <w:ind w:right="54"/>
        <w:rPr>
          <w:color w:val="54575A"/>
          <w:sz w:val="20"/>
          <w:szCs w:val="20"/>
        </w:rPr>
      </w:pPr>
    </w:p>
    <w:p w14:paraId="115CBA97" w14:textId="029FC9C0" w:rsidR="00982206" w:rsidRPr="00F743A7" w:rsidRDefault="00F743A7" w:rsidP="00F743A7">
      <w:pPr>
        <w:pStyle w:val="Heading1"/>
        <w:spacing w:before="1"/>
        <w:ind w:left="0" w:right="54"/>
        <w:rPr>
          <w:color w:val="005AA7"/>
        </w:rPr>
      </w:pPr>
      <w:r w:rsidRPr="00F743A7">
        <w:rPr>
          <w:color w:val="005AA7"/>
        </w:rPr>
        <w:t>EDUCATION &amp; CHILDCARE</w:t>
      </w:r>
    </w:p>
    <w:p w14:paraId="2D6EEEBA" w14:textId="77777777" w:rsidR="00982206" w:rsidRPr="00F743A7" w:rsidRDefault="00982206" w:rsidP="00F743A7">
      <w:pPr>
        <w:pStyle w:val="BodyText"/>
        <w:ind w:right="54"/>
        <w:rPr>
          <w:b/>
          <w:color w:val="54575A"/>
          <w:sz w:val="20"/>
          <w:szCs w:val="20"/>
        </w:rPr>
      </w:pPr>
    </w:p>
    <w:p w14:paraId="13C90E12" w14:textId="77777777" w:rsidR="00982206" w:rsidRPr="00F743A7" w:rsidRDefault="00986671" w:rsidP="00F743A7">
      <w:pPr>
        <w:pStyle w:val="BodyText"/>
        <w:spacing w:before="1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>Nursery, teaching staff and social workers.</w:t>
      </w:r>
    </w:p>
    <w:p w14:paraId="232D7A5E" w14:textId="77777777" w:rsidR="00982206" w:rsidRPr="00F743A7" w:rsidRDefault="00982206" w:rsidP="00F743A7">
      <w:pPr>
        <w:pStyle w:val="BodyText"/>
        <w:ind w:right="54"/>
        <w:rPr>
          <w:color w:val="54575A"/>
          <w:sz w:val="20"/>
          <w:szCs w:val="20"/>
        </w:rPr>
      </w:pPr>
    </w:p>
    <w:p w14:paraId="22BC39F9" w14:textId="6D9849E7" w:rsidR="00982206" w:rsidRPr="00F743A7" w:rsidRDefault="00F743A7" w:rsidP="00F743A7">
      <w:pPr>
        <w:pStyle w:val="Heading1"/>
        <w:spacing w:before="1"/>
        <w:ind w:left="0" w:right="54"/>
        <w:rPr>
          <w:color w:val="005AA7"/>
        </w:rPr>
      </w:pPr>
      <w:r w:rsidRPr="00F743A7">
        <w:rPr>
          <w:color w:val="005AA7"/>
        </w:rPr>
        <w:t>KEY PUBLIC SERVICES</w:t>
      </w:r>
    </w:p>
    <w:p w14:paraId="2A08C66C" w14:textId="77777777" w:rsidR="00982206" w:rsidRPr="00F743A7" w:rsidRDefault="00982206" w:rsidP="00F743A7">
      <w:pPr>
        <w:pStyle w:val="BodyText"/>
        <w:spacing w:before="3"/>
        <w:ind w:right="54"/>
        <w:rPr>
          <w:b/>
          <w:color w:val="54575A"/>
          <w:sz w:val="20"/>
          <w:szCs w:val="20"/>
        </w:rPr>
      </w:pPr>
    </w:p>
    <w:p w14:paraId="2DB0E338" w14:textId="77777777" w:rsidR="00982206" w:rsidRPr="00F743A7" w:rsidRDefault="00986671" w:rsidP="00F743A7">
      <w:pPr>
        <w:pStyle w:val="BodyText"/>
        <w:spacing w:line="237" w:lineRule="auto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>Those required to run the justice system, religi</w:t>
      </w:r>
      <w:r w:rsidRPr="00F743A7">
        <w:rPr>
          <w:color w:val="54575A"/>
          <w:sz w:val="20"/>
          <w:szCs w:val="20"/>
        </w:rPr>
        <w:t>ous staff, as well as those responsible for managing the deceased, and journalists providing public service broadcasting.</w:t>
      </w:r>
    </w:p>
    <w:p w14:paraId="7609A7D8" w14:textId="77777777" w:rsidR="00982206" w:rsidRPr="00F743A7" w:rsidRDefault="00982206" w:rsidP="00F743A7">
      <w:pPr>
        <w:pStyle w:val="BodyText"/>
        <w:spacing w:before="2"/>
        <w:ind w:right="54"/>
        <w:rPr>
          <w:color w:val="54575A"/>
          <w:sz w:val="20"/>
          <w:szCs w:val="20"/>
        </w:rPr>
      </w:pPr>
    </w:p>
    <w:p w14:paraId="6B78F4C4" w14:textId="57CA0707" w:rsidR="00982206" w:rsidRPr="00F743A7" w:rsidRDefault="00F743A7" w:rsidP="00F743A7">
      <w:pPr>
        <w:pStyle w:val="Heading1"/>
        <w:ind w:left="0" w:right="54"/>
        <w:rPr>
          <w:color w:val="005AA7"/>
        </w:rPr>
      </w:pPr>
      <w:r w:rsidRPr="00F743A7">
        <w:rPr>
          <w:color w:val="005AA7"/>
        </w:rPr>
        <w:t>LOCAL &amp; NATIONAL GOVERNMENT</w:t>
      </w:r>
    </w:p>
    <w:p w14:paraId="1A52E13E" w14:textId="77777777" w:rsidR="00982206" w:rsidRPr="00F743A7" w:rsidRDefault="00982206" w:rsidP="00F743A7">
      <w:pPr>
        <w:pStyle w:val="BodyText"/>
        <w:spacing w:before="3"/>
        <w:ind w:right="54"/>
        <w:rPr>
          <w:b/>
          <w:color w:val="54575A"/>
          <w:sz w:val="20"/>
          <w:szCs w:val="20"/>
        </w:rPr>
      </w:pPr>
    </w:p>
    <w:p w14:paraId="7897B97F" w14:textId="77777777" w:rsidR="00982206" w:rsidRPr="00F743A7" w:rsidRDefault="00986671" w:rsidP="00F743A7">
      <w:pPr>
        <w:pStyle w:val="BodyText"/>
        <w:spacing w:line="237" w:lineRule="auto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 xml:space="preserve">Administrative occupations essential to the effective delivery of the Covid-19 response or delivering </w:t>
      </w:r>
      <w:r w:rsidRPr="00F743A7">
        <w:rPr>
          <w:color w:val="54575A"/>
          <w:sz w:val="20"/>
          <w:szCs w:val="20"/>
        </w:rPr>
        <w:t>essential public services, including payment of benefits.</w:t>
      </w:r>
    </w:p>
    <w:p w14:paraId="6FB44341" w14:textId="77777777" w:rsidR="00982206" w:rsidRPr="00F743A7" w:rsidRDefault="00982206" w:rsidP="00F743A7">
      <w:pPr>
        <w:pStyle w:val="BodyText"/>
        <w:spacing w:before="2"/>
        <w:ind w:right="54"/>
        <w:rPr>
          <w:color w:val="54575A"/>
          <w:sz w:val="20"/>
          <w:szCs w:val="20"/>
        </w:rPr>
      </w:pPr>
    </w:p>
    <w:p w14:paraId="71851A35" w14:textId="3395486C" w:rsidR="00982206" w:rsidRPr="00F743A7" w:rsidRDefault="00F743A7" w:rsidP="00F743A7">
      <w:pPr>
        <w:pStyle w:val="Heading1"/>
        <w:ind w:left="0" w:right="54"/>
        <w:rPr>
          <w:color w:val="005AA7"/>
        </w:rPr>
      </w:pPr>
      <w:r w:rsidRPr="00F743A7">
        <w:rPr>
          <w:color w:val="005AA7"/>
        </w:rPr>
        <w:t>FOOD &amp; OTHER NECESSARY GOODS</w:t>
      </w:r>
    </w:p>
    <w:p w14:paraId="1A4B5E5D" w14:textId="77777777" w:rsidR="00982206" w:rsidRPr="00F743A7" w:rsidRDefault="00982206" w:rsidP="00F743A7">
      <w:pPr>
        <w:pStyle w:val="BodyText"/>
        <w:spacing w:before="1"/>
        <w:ind w:right="54"/>
        <w:rPr>
          <w:b/>
          <w:color w:val="54575A"/>
          <w:sz w:val="20"/>
          <w:szCs w:val="20"/>
        </w:rPr>
      </w:pPr>
    </w:p>
    <w:p w14:paraId="586FDA0B" w14:textId="77777777" w:rsidR="00982206" w:rsidRPr="00F743A7" w:rsidRDefault="00986671" w:rsidP="00F743A7">
      <w:pPr>
        <w:pStyle w:val="BodyText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>Those involved in the production, processing, distribution, sale and delivery of food.</w:t>
      </w:r>
    </w:p>
    <w:p w14:paraId="560CC40B" w14:textId="77777777" w:rsidR="00982206" w:rsidRPr="00F743A7" w:rsidRDefault="00982206" w:rsidP="00F743A7">
      <w:pPr>
        <w:pStyle w:val="BodyText"/>
        <w:spacing w:before="1"/>
        <w:ind w:right="54"/>
        <w:rPr>
          <w:color w:val="54575A"/>
          <w:sz w:val="20"/>
          <w:szCs w:val="20"/>
        </w:rPr>
      </w:pPr>
    </w:p>
    <w:p w14:paraId="42C9B0FD" w14:textId="67344C1D" w:rsidR="00982206" w:rsidRPr="00F743A7" w:rsidRDefault="00F743A7" w:rsidP="00F743A7">
      <w:pPr>
        <w:pStyle w:val="Heading1"/>
        <w:ind w:left="0" w:right="54"/>
        <w:rPr>
          <w:color w:val="005AA7"/>
        </w:rPr>
      </w:pPr>
      <w:r w:rsidRPr="00F743A7">
        <w:rPr>
          <w:color w:val="005AA7"/>
        </w:rPr>
        <w:t>PUBLIC SAFETY &amp; NATIONAL SECURITY</w:t>
      </w:r>
    </w:p>
    <w:p w14:paraId="4E97AF54" w14:textId="77777777" w:rsidR="00982206" w:rsidRPr="00F743A7" w:rsidRDefault="00982206" w:rsidP="00F743A7">
      <w:pPr>
        <w:pStyle w:val="BodyText"/>
        <w:spacing w:before="1"/>
        <w:ind w:right="54"/>
        <w:rPr>
          <w:b/>
          <w:color w:val="54575A"/>
          <w:sz w:val="20"/>
          <w:szCs w:val="20"/>
        </w:rPr>
      </w:pPr>
    </w:p>
    <w:p w14:paraId="2C2E060E" w14:textId="77777777" w:rsidR="00982206" w:rsidRPr="00F743A7" w:rsidRDefault="00986671" w:rsidP="00F743A7">
      <w:pPr>
        <w:pStyle w:val="BodyText"/>
        <w:spacing w:line="242" w:lineRule="auto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 xml:space="preserve">Police, support staff, Ministry of Defence civilian staff and armed forces personnel, fire and rescue staff, and those responsible </w:t>
      </w:r>
      <w:r w:rsidRPr="00F743A7">
        <w:rPr>
          <w:color w:val="54575A"/>
          <w:sz w:val="20"/>
          <w:szCs w:val="20"/>
        </w:rPr>
        <w:t>for border security, prisons and probation.</w:t>
      </w:r>
    </w:p>
    <w:p w14:paraId="7CAB0712" w14:textId="77777777" w:rsidR="00982206" w:rsidRPr="00F743A7" w:rsidRDefault="00982206" w:rsidP="00F743A7">
      <w:pPr>
        <w:pStyle w:val="BodyText"/>
        <w:spacing w:before="9"/>
        <w:ind w:right="54"/>
        <w:rPr>
          <w:color w:val="54575A"/>
          <w:sz w:val="20"/>
          <w:szCs w:val="20"/>
        </w:rPr>
      </w:pPr>
    </w:p>
    <w:p w14:paraId="483B4263" w14:textId="2736D57B" w:rsidR="00982206" w:rsidRPr="00F743A7" w:rsidRDefault="00F743A7" w:rsidP="00F743A7">
      <w:pPr>
        <w:pStyle w:val="Heading1"/>
        <w:spacing w:before="1"/>
        <w:ind w:left="0" w:right="54"/>
        <w:rPr>
          <w:color w:val="005AA7"/>
        </w:rPr>
      </w:pPr>
      <w:r w:rsidRPr="00F743A7">
        <w:rPr>
          <w:color w:val="005AA7"/>
        </w:rPr>
        <w:t>TRANSPORT</w:t>
      </w:r>
    </w:p>
    <w:p w14:paraId="246EABC1" w14:textId="77777777" w:rsidR="00982206" w:rsidRPr="00F743A7" w:rsidRDefault="00982206" w:rsidP="00F743A7">
      <w:pPr>
        <w:pStyle w:val="BodyText"/>
        <w:spacing w:before="3"/>
        <w:ind w:right="54"/>
        <w:rPr>
          <w:b/>
          <w:color w:val="54575A"/>
          <w:sz w:val="20"/>
          <w:szCs w:val="20"/>
        </w:rPr>
      </w:pPr>
    </w:p>
    <w:p w14:paraId="44BFD225" w14:textId="77777777" w:rsidR="00982206" w:rsidRPr="00F743A7" w:rsidRDefault="00986671" w:rsidP="00F743A7">
      <w:pPr>
        <w:pStyle w:val="BodyText"/>
        <w:spacing w:line="237" w:lineRule="auto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>Those who will keep air, water, road and rail passenger and freight transport modes operating during the Covid-19 response.</w:t>
      </w:r>
    </w:p>
    <w:p w14:paraId="0DEDB6C7" w14:textId="77777777" w:rsidR="00982206" w:rsidRPr="00F743A7" w:rsidRDefault="00982206" w:rsidP="00F743A7">
      <w:pPr>
        <w:pStyle w:val="BodyText"/>
        <w:spacing w:before="2"/>
        <w:ind w:right="54"/>
        <w:rPr>
          <w:color w:val="54575A"/>
          <w:sz w:val="20"/>
          <w:szCs w:val="20"/>
        </w:rPr>
      </w:pPr>
    </w:p>
    <w:p w14:paraId="7389A1E5" w14:textId="72056A53" w:rsidR="00982206" w:rsidRPr="00F743A7" w:rsidRDefault="00F743A7" w:rsidP="00F743A7">
      <w:pPr>
        <w:pStyle w:val="Heading1"/>
        <w:ind w:left="0" w:right="54"/>
        <w:rPr>
          <w:color w:val="005AA7"/>
        </w:rPr>
      </w:pPr>
      <w:r w:rsidRPr="00F743A7">
        <w:rPr>
          <w:color w:val="005AA7"/>
        </w:rPr>
        <w:t>UTILITIES, COMMUNICATION &amp; FINANCIAL SERVICES</w:t>
      </w:r>
    </w:p>
    <w:p w14:paraId="0214B17A" w14:textId="77777777" w:rsidR="00982206" w:rsidRPr="00F743A7" w:rsidRDefault="00982206" w:rsidP="00F743A7">
      <w:pPr>
        <w:pStyle w:val="BodyText"/>
        <w:spacing w:before="1"/>
        <w:ind w:right="54"/>
        <w:rPr>
          <w:b/>
          <w:color w:val="54575A"/>
          <w:sz w:val="20"/>
          <w:szCs w:val="20"/>
        </w:rPr>
      </w:pPr>
    </w:p>
    <w:p w14:paraId="1E5E791B" w14:textId="63FADE87" w:rsidR="00F743A7" w:rsidRPr="00F743A7" w:rsidRDefault="00986671" w:rsidP="00F743A7">
      <w:pPr>
        <w:pStyle w:val="BodyText"/>
        <w:ind w:right="54"/>
        <w:rPr>
          <w:color w:val="54575A"/>
          <w:sz w:val="20"/>
          <w:szCs w:val="20"/>
        </w:rPr>
      </w:pPr>
      <w:r w:rsidRPr="00F743A7">
        <w:rPr>
          <w:color w:val="54575A"/>
          <w:sz w:val="20"/>
          <w:szCs w:val="20"/>
        </w:rPr>
        <w:t>Staff required to keep oil</w:t>
      </w:r>
      <w:r w:rsidRPr="00F743A7">
        <w:rPr>
          <w:color w:val="54575A"/>
          <w:sz w:val="20"/>
          <w:szCs w:val="20"/>
        </w:rPr>
        <w:t>, gas, electricity, water and sewerage operations running. Staff in the civil nuclear, chemical and telecommunications sectors. Those in postal services and those working to provide essential financial services.</w:t>
      </w:r>
      <w:bookmarkStart w:id="0" w:name="_GoBack"/>
      <w:bookmarkEnd w:id="0"/>
    </w:p>
    <w:sectPr w:rsidR="00F743A7" w:rsidRPr="00F743A7" w:rsidSect="00F743A7">
      <w:headerReference w:type="default" r:id="rId6"/>
      <w:footerReference w:type="default" r:id="rId7"/>
      <w:type w:val="continuous"/>
      <w:pgSz w:w="11900" w:h="16840"/>
      <w:pgMar w:top="1985" w:right="760" w:bottom="280" w:left="880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178A4" w14:textId="77777777" w:rsidR="00F743A7" w:rsidRDefault="00F743A7" w:rsidP="00F743A7">
      <w:r>
        <w:separator/>
      </w:r>
    </w:p>
  </w:endnote>
  <w:endnote w:type="continuationSeparator" w:id="0">
    <w:p w14:paraId="567154C6" w14:textId="77777777" w:rsidR="00F743A7" w:rsidRDefault="00F743A7" w:rsidP="00F7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E374" w14:textId="5823798C" w:rsidR="00F743A7" w:rsidRPr="00F743A7" w:rsidRDefault="00F743A7" w:rsidP="00F743A7">
    <w:pPr>
      <w:pStyle w:val="Footer"/>
      <w:ind w:left="-284"/>
      <w:rPr>
        <w:color w:val="54575A"/>
        <w:sz w:val="6"/>
        <w:szCs w:val="6"/>
      </w:rPr>
    </w:pPr>
    <w:r w:rsidRPr="00537FE5">
      <w:rPr>
        <w:noProof/>
        <w:color w:val="54575A"/>
        <w:sz w:val="18"/>
        <w:szCs w:val="18"/>
        <w:lang w:eastAsia="en-GB"/>
      </w:rPr>
      <w:drawing>
        <wp:anchor distT="0" distB="0" distL="114300" distR="114300" simplePos="0" relativeHeight="251663872" behindDoc="0" locked="0" layoutInCell="1" allowOverlap="1" wp14:anchorId="512B5C74" wp14:editId="0786BEE9">
          <wp:simplePos x="0" y="0"/>
          <wp:positionH relativeFrom="rightMargin">
            <wp:posOffset>-238125</wp:posOffset>
          </wp:positionH>
          <wp:positionV relativeFrom="paragraph">
            <wp:posOffset>-234950</wp:posOffset>
          </wp:positionV>
          <wp:extent cx="466090" cy="466090"/>
          <wp:effectExtent l="0" t="0" r="0" b="0"/>
          <wp:wrapNone/>
          <wp:docPr id="444" name="Picture 444" descr="Z:\SKA Logos 2015\Screen Logos\SKA_Button_screenversion_transparen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4" descr="Z:\SKA Logos 2015\Screen Logos\SKA_Button_screenversion_transparen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4575A"/>
        <w:sz w:val="18"/>
        <w:szCs w:val="18"/>
      </w:rPr>
      <w:t xml:space="preserve">Tysers Risk Services is a trading name of Stallard Kane Associates Ltd.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BA3E2" w14:textId="77777777" w:rsidR="00F743A7" w:rsidRDefault="00F743A7" w:rsidP="00F743A7">
      <w:r>
        <w:separator/>
      </w:r>
    </w:p>
  </w:footnote>
  <w:footnote w:type="continuationSeparator" w:id="0">
    <w:p w14:paraId="2F9A2CB9" w14:textId="77777777" w:rsidR="00F743A7" w:rsidRDefault="00F743A7" w:rsidP="00F7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B7BB" w14:textId="5CE64BFB" w:rsidR="00F743A7" w:rsidRPr="00537FE5" w:rsidRDefault="00F743A7" w:rsidP="00F743A7">
    <w:pPr>
      <w:shd w:val="clear" w:color="auto" w:fill="FFFFFF"/>
      <w:ind w:right="-3"/>
      <w:jc w:val="right"/>
      <w:outlineLvl w:val="1"/>
      <w:rPr>
        <w:b/>
        <w:bCs/>
        <w:color w:val="54575A"/>
        <w:sz w:val="36"/>
        <w:szCs w:val="36"/>
        <w:lang w:eastAsia="en-GB"/>
      </w:rPr>
    </w:pPr>
    <w:r>
      <w:rPr>
        <w:b/>
        <w:bCs/>
        <w:noProof/>
        <w:color w:val="54575A"/>
        <w:sz w:val="36"/>
        <w:szCs w:val="36"/>
        <w:lang w:eastAsia="en-GB"/>
      </w:rPr>
      <w:drawing>
        <wp:anchor distT="0" distB="0" distL="114300" distR="114300" simplePos="0" relativeHeight="251657728" behindDoc="0" locked="0" layoutInCell="1" allowOverlap="1" wp14:anchorId="7CC14A49" wp14:editId="1E4BCC0E">
          <wp:simplePos x="0" y="0"/>
          <wp:positionH relativeFrom="column">
            <wp:posOffset>-218440</wp:posOffset>
          </wp:positionH>
          <wp:positionV relativeFrom="paragraph">
            <wp:posOffset>-164465</wp:posOffset>
          </wp:positionV>
          <wp:extent cx="657225" cy="94042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ysers Risk Servi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940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b/>
        <w:bCs/>
        <w:color w:val="54575A"/>
        <w:sz w:val="36"/>
        <w:szCs w:val="36"/>
        <w:lang w:eastAsia="en-GB"/>
      </w:rPr>
      <w:t>KEY WORKER LIST</w:t>
    </w:r>
  </w:p>
  <w:p w14:paraId="72B8E7F3" w14:textId="77777777" w:rsidR="00F743A7" w:rsidRDefault="00F7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206"/>
    <w:rsid w:val="00982206"/>
    <w:rsid w:val="00F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BE45"/>
  <w15:docId w15:val="{1958F5B1-BAEA-4B2A-91D0-4F014F8A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4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4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A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Cockburn, Molly</cp:lastModifiedBy>
  <cp:revision>2</cp:revision>
  <dcterms:created xsi:type="dcterms:W3CDTF">2020-04-07T10:50:00Z</dcterms:created>
  <dcterms:modified xsi:type="dcterms:W3CDTF">2020-04-07T11:06:00Z</dcterms:modified>
</cp:coreProperties>
</file>